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54" w:rsidRDefault="00BA4254" w:rsidP="00BA4254">
      <w:pPr>
        <w:spacing w:line="360" w:lineRule="auto"/>
        <w:rPr>
          <w:rFonts w:cs="Arial"/>
          <w:sz w:val="22"/>
          <w:szCs w:val="22"/>
        </w:rPr>
      </w:pPr>
      <w:r>
        <w:rPr>
          <w:noProof/>
          <w:lang w:eastAsia="en-GB"/>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-493395</wp:posOffset>
            </wp:positionV>
            <wp:extent cx="1937385" cy="779145"/>
            <wp:effectExtent l="1905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7385" cy="779145"/>
                    </a:xfrm>
                    <a:prstGeom prst="rect">
                      <a:avLst/>
                    </a:prstGeom>
                    <a:noFill/>
                  </pic:spPr>
                </pic:pic>
              </a:graphicData>
            </a:graphic>
          </wp:anchor>
        </w:drawing>
      </w:r>
    </w:p>
    <w:p w:rsidR="00BA4254" w:rsidRDefault="00BA4254" w:rsidP="00BA4254">
      <w:pPr>
        <w:spacing w:line="360" w:lineRule="auto"/>
        <w:rPr>
          <w:rFonts w:cs="Arial"/>
          <w:sz w:val="22"/>
          <w:szCs w:val="22"/>
        </w:rPr>
      </w:pPr>
      <w:r>
        <w:rPr>
          <w:rFonts w:cs="Arial"/>
          <w:sz w:val="22"/>
          <w:szCs w:val="22"/>
        </w:rPr>
        <w:t>News release</w:t>
      </w:r>
    </w:p>
    <w:p w:rsidR="00BA4254" w:rsidRDefault="004D7E3F" w:rsidP="00BA4254">
      <w:pPr>
        <w:spacing w:line="360" w:lineRule="auto"/>
        <w:rPr>
          <w:rFonts w:cs="Arial"/>
          <w:sz w:val="22"/>
          <w:szCs w:val="22"/>
        </w:rPr>
      </w:pPr>
      <w:r>
        <w:rPr>
          <w:rFonts w:cs="Arial"/>
          <w:sz w:val="22"/>
          <w:szCs w:val="22"/>
        </w:rPr>
        <w:t>03</w:t>
      </w:r>
      <w:r w:rsidR="00BA4254">
        <w:rPr>
          <w:rFonts w:cs="Arial"/>
          <w:sz w:val="22"/>
          <w:szCs w:val="22"/>
        </w:rPr>
        <w:t xml:space="preserve"> </w:t>
      </w:r>
      <w:r>
        <w:rPr>
          <w:rFonts w:cs="Arial"/>
          <w:sz w:val="22"/>
          <w:szCs w:val="22"/>
        </w:rPr>
        <w:t>April</w:t>
      </w:r>
      <w:r w:rsidR="00DD35DF">
        <w:rPr>
          <w:rFonts w:cs="Arial"/>
          <w:sz w:val="22"/>
          <w:szCs w:val="22"/>
        </w:rPr>
        <w:t xml:space="preserve"> 2013</w:t>
      </w:r>
    </w:p>
    <w:p w:rsidR="0018020D" w:rsidRDefault="0018020D" w:rsidP="00AE32ED">
      <w:pPr>
        <w:spacing w:line="360" w:lineRule="auto"/>
        <w:jc w:val="center"/>
        <w:rPr>
          <w:rFonts w:cs="Arial"/>
          <w:sz w:val="22"/>
          <w:szCs w:val="22"/>
        </w:rPr>
      </w:pPr>
    </w:p>
    <w:tbl>
      <w:tblPr>
        <w:tblW w:w="9271" w:type="dxa"/>
        <w:tblLook w:val="01E0"/>
      </w:tblPr>
      <w:tblGrid>
        <w:gridCol w:w="9271"/>
      </w:tblGrid>
      <w:tr w:rsidR="004D7E3F" w:rsidRPr="004D7E3F" w:rsidTr="00E5021B">
        <w:trPr>
          <w:trHeight w:val="950"/>
        </w:trPr>
        <w:tc>
          <w:tcPr>
            <w:tcW w:w="9271" w:type="dxa"/>
            <w:tcMar>
              <w:left w:w="0" w:type="dxa"/>
              <w:right w:w="0" w:type="dxa"/>
            </w:tcMar>
          </w:tcPr>
          <w:p w:rsidR="004D7E3F" w:rsidRPr="004D7E3F" w:rsidRDefault="004D7E3F" w:rsidP="004D7E3F">
            <w:pPr>
              <w:suppressAutoHyphens/>
              <w:spacing w:line="260" w:lineRule="exact"/>
              <w:rPr>
                <w:rFonts w:eastAsia="MS Mincho" w:cs="Arial"/>
                <w:b/>
                <w:lang w:val="en-US" w:eastAsia="ja-JP"/>
              </w:rPr>
            </w:pPr>
          </w:p>
          <w:p w:rsidR="004D7E3F" w:rsidRPr="004D7E3F" w:rsidRDefault="004D7E3F" w:rsidP="004D7E3F">
            <w:pPr>
              <w:suppressAutoHyphens/>
              <w:spacing w:line="260" w:lineRule="exact"/>
              <w:rPr>
                <w:rFonts w:eastAsia="MS Mincho" w:cs="Arial"/>
                <w:b/>
                <w:lang w:val="en-US" w:eastAsia="ja-JP"/>
              </w:rPr>
            </w:pPr>
            <w:r w:rsidRPr="004D7E3F">
              <w:rPr>
                <w:rFonts w:eastAsia="MS Mincho" w:cs="Arial"/>
                <w:b/>
                <w:bCs/>
                <w:lang w:val="en-US" w:eastAsia="ja-JP"/>
              </w:rPr>
              <w:t xml:space="preserve">Ernst &amp; Young Academy of Business </w:t>
            </w:r>
            <w:r w:rsidRPr="004D7E3F">
              <w:rPr>
                <w:rFonts w:cs="Arial"/>
                <w:b/>
                <w:bCs/>
                <w:kern w:val="12"/>
                <w:sz w:val="26"/>
              </w:rPr>
              <w:t xml:space="preserve">and OPP extend their strategic </w:t>
            </w:r>
            <w:r w:rsidRPr="004D7E3F">
              <w:rPr>
                <w:rFonts w:eastAsia="MS Mincho" w:cs="Arial"/>
                <w:b/>
                <w:bCs/>
                <w:lang w:val="en-US" w:eastAsia="ja-JP"/>
              </w:rPr>
              <w:t>alliance in the CIS</w:t>
            </w:r>
            <w:r w:rsidRPr="004D7E3F">
              <w:rPr>
                <w:rFonts w:cs="Arial"/>
                <w:b/>
                <w:bCs/>
                <w:kern w:val="12"/>
                <w:sz w:val="26"/>
              </w:rPr>
              <w:t xml:space="preserve">  </w:t>
            </w:r>
          </w:p>
        </w:tc>
      </w:tr>
    </w:tbl>
    <w:p w:rsidR="004D7E3F" w:rsidRPr="004D7E3F" w:rsidRDefault="004D7E3F" w:rsidP="004D7E3F">
      <w:pPr>
        <w:spacing w:after="200" w:line="360" w:lineRule="auto"/>
        <w:rPr>
          <w:rFonts w:eastAsia="MS Mincho" w:cs="Arial"/>
          <w:b/>
          <w:bCs/>
          <w:sz w:val="22"/>
          <w:szCs w:val="22"/>
          <w:lang w:val="en-US" w:eastAsia="ja-JP"/>
        </w:rPr>
      </w:pPr>
      <w:r w:rsidRPr="004D7E3F">
        <w:rPr>
          <w:rFonts w:eastAsia="MS Mincho" w:cs="Arial"/>
          <w:b/>
          <w:bCs/>
          <w:lang w:val="en-US" w:eastAsia="ja-JP"/>
        </w:rPr>
        <w:br/>
      </w:r>
      <w:r w:rsidRPr="004D7E3F">
        <w:rPr>
          <w:rFonts w:eastAsia="MS Mincho" w:cs="Arial"/>
          <w:i/>
          <w:sz w:val="22"/>
          <w:szCs w:val="22"/>
          <w:lang w:val="en-US" w:eastAsia="ja-JP"/>
        </w:rPr>
        <w:t>Moscow, 28 March 2013</w:t>
      </w:r>
      <w:r w:rsidRPr="004D7E3F">
        <w:rPr>
          <w:rFonts w:eastAsia="MS Mincho" w:cs="Arial"/>
          <w:sz w:val="22"/>
          <w:szCs w:val="22"/>
          <w:lang w:val="en-US" w:eastAsia="ja-JP"/>
        </w:rPr>
        <w:t xml:space="preserve">. </w:t>
      </w:r>
      <w:r w:rsidRPr="004D7E3F">
        <w:rPr>
          <w:rFonts w:eastAsia="MS Mincho" w:cs="Arial"/>
          <w:bCs/>
          <w:sz w:val="22"/>
          <w:szCs w:val="22"/>
          <w:lang w:val="en-US" w:eastAsia="ja-JP"/>
        </w:rPr>
        <w:t>Ernst &amp; Young Academy of Business in the CIS and UK-based OPP announce their new training partnership to jointly expand business services within the emerging CIS market.</w:t>
      </w:r>
    </w:p>
    <w:p w:rsidR="004D7E3F" w:rsidRPr="004D7E3F" w:rsidRDefault="004D7E3F" w:rsidP="004D7E3F">
      <w:pPr>
        <w:spacing w:after="200" w:line="360" w:lineRule="auto"/>
        <w:rPr>
          <w:rFonts w:eastAsia="MS Mincho" w:cs="Arial"/>
          <w:bCs/>
          <w:sz w:val="22"/>
          <w:szCs w:val="22"/>
          <w:lang w:val="en-US" w:eastAsia="ja-JP"/>
        </w:rPr>
      </w:pPr>
      <w:r w:rsidRPr="004D7E3F">
        <w:rPr>
          <w:rFonts w:eastAsia="MS Mincho" w:cs="Arial"/>
          <w:bCs/>
          <w:sz w:val="22"/>
          <w:szCs w:val="22"/>
          <w:lang w:val="en-US" w:eastAsia="ja-JP"/>
        </w:rPr>
        <w:t xml:space="preserve">OPP and Ernst &amp; Young Academy of Business have further extended their strategic alliance to promote wider use of the globally </w:t>
      </w:r>
      <w:proofErr w:type="spellStart"/>
      <w:r w:rsidRPr="004D7E3F">
        <w:rPr>
          <w:rFonts w:eastAsia="MS Mincho" w:cs="Arial"/>
          <w:bCs/>
          <w:sz w:val="22"/>
          <w:szCs w:val="22"/>
          <w:lang w:val="en-US" w:eastAsia="ja-JP"/>
        </w:rPr>
        <w:t>recognised</w:t>
      </w:r>
      <w:proofErr w:type="spellEnd"/>
      <w:r w:rsidRPr="004D7E3F">
        <w:rPr>
          <w:rFonts w:eastAsia="MS Mincho" w:cs="Arial"/>
          <w:bCs/>
          <w:sz w:val="22"/>
          <w:szCs w:val="22"/>
          <w:lang w:val="en-US" w:eastAsia="ja-JP"/>
        </w:rPr>
        <w:t xml:space="preserve"> </w:t>
      </w:r>
      <w:proofErr w:type="spellStart"/>
      <w:r w:rsidRPr="004D7E3F">
        <w:rPr>
          <w:rFonts w:eastAsia="MS Mincho" w:cs="Arial"/>
          <w:bCs/>
          <w:sz w:val="22"/>
          <w:szCs w:val="22"/>
          <w:lang w:val="en-US" w:eastAsia="ja-JP"/>
        </w:rPr>
        <w:t>MBTI</w:t>
      </w:r>
      <w:proofErr w:type="spellEnd"/>
      <w:r w:rsidRPr="004D7E3F">
        <w:rPr>
          <w:rFonts w:eastAsia="MS Mincho" w:cs="Arial"/>
          <w:bCs/>
          <w:sz w:val="22"/>
          <w:szCs w:val="22"/>
          <w:lang w:val="en-US" w:eastAsia="ja-JP"/>
        </w:rPr>
        <w:t xml:space="preserve"> instrument in the CIS market. OPP has appointed Ernst &amp; Young Academy of Business as its MBTI Training Partner, </w:t>
      </w:r>
      <w:proofErr w:type="spellStart"/>
      <w:r w:rsidRPr="004D7E3F">
        <w:rPr>
          <w:rFonts w:eastAsia="MS Mincho" w:cs="Arial"/>
          <w:bCs/>
          <w:sz w:val="22"/>
          <w:szCs w:val="22"/>
          <w:lang w:val="en-US" w:eastAsia="ja-JP"/>
        </w:rPr>
        <w:t>authorising</w:t>
      </w:r>
      <w:proofErr w:type="spellEnd"/>
      <w:r w:rsidRPr="004D7E3F">
        <w:rPr>
          <w:rFonts w:eastAsia="MS Mincho" w:cs="Arial"/>
          <w:bCs/>
          <w:sz w:val="22"/>
          <w:szCs w:val="22"/>
          <w:lang w:val="en-US" w:eastAsia="ja-JP"/>
        </w:rPr>
        <w:t xml:space="preserve"> them to offer MBTI qualification training workshops delivered in Russian and led by Ernst &amp; Young Russian-speaking, OPP-certified instructors. Business in the CIS countries and the CIS government </w:t>
      </w:r>
      <w:proofErr w:type="spellStart"/>
      <w:r w:rsidRPr="004D7E3F">
        <w:rPr>
          <w:rFonts w:eastAsia="MS Mincho" w:cs="Arial"/>
          <w:bCs/>
          <w:sz w:val="22"/>
          <w:szCs w:val="22"/>
          <w:lang w:val="en-US" w:eastAsia="ja-JP"/>
        </w:rPr>
        <w:t>organisations</w:t>
      </w:r>
      <w:proofErr w:type="spellEnd"/>
      <w:r w:rsidRPr="004D7E3F">
        <w:rPr>
          <w:rFonts w:eastAsia="MS Mincho" w:cs="Arial"/>
          <w:bCs/>
          <w:sz w:val="22"/>
          <w:szCs w:val="22"/>
          <w:lang w:val="en-US" w:eastAsia="ja-JP"/>
        </w:rPr>
        <w:t xml:space="preserve"> will now benefit from Ernst &amp; Young’s highly regarded business training ethos, with the welcomed addition of OPP’s MBTI-based qualification, leadership and development training expertise. The first CIS-based MBTI qualification </w:t>
      </w:r>
      <w:proofErr w:type="spellStart"/>
      <w:r w:rsidRPr="004D7E3F">
        <w:rPr>
          <w:rFonts w:eastAsia="MS Mincho" w:cs="Arial"/>
          <w:bCs/>
          <w:sz w:val="22"/>
          <w:szCs w:val="22"/>
          <w:lang w:val="en-US" w:eastAsia="ja-JP"/>
        </w:rPr>
        <w:t>programme</w:t>
      </w:r>
      <w:proofErr w:type="spellEnd"/>
      <w:r w:rsidRPr="004D7E3F">
        <w:rPr>
          <w:rFonts w:eastAsia="MS Mincho" w:cs="Arial"/>
          <w:bCs/>
          <w:sz w:val="22"/>
          <w:szCs w:val="22"/>
          <w:lang w:val="en-US" w:eastAsia="ja-JP"/>
        </w:rPr>
        <w:t xml:space="preserve"> will launch in Moscow in September 2013.</w:t>
      </w:r>
    </w:p>
    <w:p w:rsidR="004D7E3F" w:rsidRPr="004D7E3F" w:rsidRDefault="004D7E3F" w:rsidP="004D7E3F">
      <w:pPr>
        <w:spacing w:after="200" w:line="360" w:lineRule="auto"/>
        <w:rPr>
          <w:rFonts w:eastAsia="MS Mincho" w:cs="Arial"/>
          <w:bCs/>
          <w:sz w:val="22"/>
          <w:szCs w:val="22"/>
          <w:lang w:val="en-US" w:eastAsia="ja-JP"/>
        </w:rPr>
      </w:pPr>
      <w:r w:rsidRPr="004D7E3F">
        <w:rPr>
          <w:rFonts w:eastAsia="MS Mincho" w:cs="Arial"/>
          <w:bCs/>
          <w:sz w:val="22"/>
          <w:szCs w:val="22"/>
          <w:lang w:val="en-US" w:eastAsia="ja-JP"/>
        </w:rPr>
        <w:t xml:space="preserve">Both Ernst &amp; Young and OPP view this partnership as a significant achievement to support their long-term growth plans within emerging and global markets. </w:t>
      </w:r>
    </w:p>
    <w:p w:rsidR="004D7E3F" w:rsidRPr="004D7E3F" w:rsidRDefault="004D7E3F" w:rsidP="004D7E3F">
      <w:pPr>
        <w:spacing w:after="200" w:line="360" w:lineRule="auto"/>
        <w:rPr>
          <w:rFonts w:eastAsia="MS Mincho" w:cs="Arial"/>
          <w:bCs/>
          <w:sz w:val="22"/>
          <w:szCs w:val="22"/>
          <w:lang w:val="en-US" w:eastAsia="ja-JP"/>
        </w:rPr>
      </w:pPr>
      <w:r w:rsidRPr="004D7E3F">
        <w:rPr>
          <w:rFonts w:eastAsia="MS Mincho" w:cs="Arial"/>
          <w:bCs/>
          <w:sz w:val="22"/>
          <w:szCs w:val="22"/>
          <w:lang w:val="en-US" w:eastAsia="ja-JP"/>
        </w:rPr>
        <w:t xml:space="preserve">“The CIS business market is rapidly redefining its approach to talent development beyond conventional business skills,” states Olga </w:t>
      </w:r>
      <w:proofErr w:type="spellStart"/>
      <w:r w:rsidRPr="004D7E3F">
        <w:rPr>
          <w:rFonts w:eastAsia="MS Mincho" w:cs="Arial"/>
          <w:bCs/>
          <w:sz w:val="22"/>
          <w:szCs w:val="22"/>
          <w:lang w:val="en-US" w:eastAsia="ja-JP"/>
        </w:rPr>
        <w:t>Bulatova</w:t>
      </w:r>
      <w:proofErr w:type="spellEnd"/>
      <w:r w:rsidRPr="004D7E3F">
        <w:rPr>
          <w:rFonts w:eastAsia="MS Mincho" w:cs="Arial"/>
          <w:bCs/>
          <w:sz w:val="22"/>
          <w:szCs w:val="22"/>
          <w:lang w:val="en-US" w:eastAsia="ja-JP"/>
        </w:rPr>
        <w:t xml:space="preserve">, Ernst &amp; Young Partner and the Head of the Academy of Business. “Our more sophisticated customers are highly motivated to improve employees’ ‘soft skills’ and communication styles across three tiers of business – individual, team and leadership – with the goal of improving </w:t>
      </w:r>
      <w:proofErr w:type="spellStart"/>
      <w:r w:rsidRPr="004D7E3F">
        <w:rPr>
          <w:rFonts w:eastAsia="MS Mincho" w:cs="Arial"/>
          <w:bCs/>
          <w:sz w:val="22"/>
          <w:szCs w:val="22"/>
          <w:lang w:val="en-US" w:eastAsia="ja-JP"/>
        </w:rPr>
        <w:t>organisational</w:t>
      </w:r>
      <w:proofErr w:type="spellEnd"/>
      <w:r w:rsidRPr="004D7E3F">
        <w:rPr>
          <w:rFonts w:eastAsia="MS Mincho" w:cs="Arial"/>
          <w:bCs/>
          <w:sz w:val="22"/>
          <w:szCs w:val="22"/>
          <w:lang w:val="en-US" w:eastAsia="ja-JP"/>
        </w:rPr>
        <w:t xml:space="preserve"> effectiveness. Ernst &amp; Young Academy of Business is excited to partner with OPP to be the first CIS-based </w:t>
      </w:r>
      <w:proofErr w:type="spellStart"/>
      <w:r w:rsidRPr="004D7E3F">
        <w:rPr>
          <w:rFonts w:eastAsia="MS Mincho" w:cs="Arial"/>
          <w:bCs/>
          <w:sz w:val="22"/>
          <w:szCs w:val="22"/>
          <w:lang w:val="en-US" w:eastAsia="ja-JP"/>
        </w:rPr>
        <w:t>organisation</w:t>
      </w:r>
      <w:proofErr w:type="spellEnd"/>
      <w:r w:rsidRPr="004D7E3F">
        <w:rPr>
          <w:rFonts w:eastAsia="MS Mincho" w:cs="Arial"/>
          <w:bCs/>
          <w:sz w:val="22"/>
          <w:szCs w:val="22"/>
          <w:lang w:val="en-US" w:eastAsia="ja-JP"/>
        </w:rPr>
        <w:t xml:space="preserve"> to offer this complete package to the market.” </w:t>
      </w:r>
    </w:p>
    <w:p w:rsidR="004D7E3F" w:rsidRPr="004D7E3F" w:rsidRDefault="004D7E3F" w:rsidP="004D7E3F">
      <w:pPr>
        <w:spacing w:after="200" w:line="360" w:lineRule="auto"/>
        <w:rPr>
          <w:rFonts w:eastAsia="MS Mincho" w:cs="Arial"/>
          <w:bCs/>
          <w:sz w:val="22"/>
          <w:szCs w:val="22"/>
          <w:lang w:val="en-US" w:eastAsia="ja-JP"/>
        </w:rPr>
      </w:pPr>
      <w:r w:rsidRPr="004D7E3F">
        <w:rPr>
          <w:rFonts w:eastAsia="MS Mincho" w:cs="Arial"/>
          <w:bCs/>
          <w:sz w:val="22"/>
          <w:szCs w:val="22"/>
          <w:lang w:val="en-US" w:eastAsia="ja-JP"/>
        </w:rPr>
        <w:t xml:space="preserve">“Ernst &amp; Young has an established global reputation”, says Clive Thomas, OPP’s Chief Commercial Officer. “It is a benchmark for excellence. Partnering with their Academy of Business to make MBTI more accessible in this dynamic CIS market was a natural move for OPP.” </w:t>
      </w:r>
      <w:bookmarkStart w:id="0" w:name="_GoBack"/>
      <w:bookmarkEnd w:id="0"/>
    </w:p>
    <w:p w:rsidR="004D7E3F" w:rsidRPr="004D7E3F" w:rsidRDefault="004D7E3F" w:rsidP="004D7E3F">
      <w:pPr>
        <w:spacing w:after="200" w:line="360" w:lineRule="auto"/>
        <w:rPr>
          <w:rFonts w:eastAsia="MS Mincho" w:cs="Arial"/>
          <w:bCs/>
          <w:sz w:val="22"/>
          <w:szCs w:val="22"/>
          <w:lang w:val="en-US" w:eastAsia="ja-JP"/>
        </w:rPr>
      </w:pPr>
      <w:r w:rsidRPr="004D7E3F">
        <w:rPr>
          <w:rFonts w:eastAsia="MS Mincho" w:cs="Arial"/>
          <w:bCs/>
          <w:sz w:val="22"/>
          <w:szCs w:val="22"/>
          <w:lang w:val="en-US" w:eastAsia="ja-JP"/>
        </w:rPr>
        <w:lastRenderedPageBreak/>
        <w:t xml:space="preserve">MBTI-qualified Tatiana </w:t>
      </w:r>
      <w:proofErr w:type="spellStart"/>
      <w:r w:rsidRPr="004D7E3F">
        <w:rPr>
          <w:rFonts w:eastAsia="MS Mincho" w:cs="Arial"/>
          <w:bCs/>
          <w:sz w:val="22"/>
          <w:szCs w:val="22"/>
          <w:lang w:val="en-US" w:eastAsia="ja-JP"/>
        </w:rPr>
        <w:t>Timoshina</w:t>
      </w:r>
      <w:proofErr w:type="spellEnd"/>
      <w:r w:rsidRPr="004D7E3F">
        <w:rPr>
          <w:rFonts w:eastAsia="MS Mincho" w:cs="Arial"/>
          <w:bCs/>
          <w:sz w:val="22"/>
          <w:szCs w:val="22"/>
          <w:lang w:val="en-US" w:eastAsia="ja-JP"/>
        </w:rPr>
        <w:t xml:space="preserve">, Senior Manager at Ernst &amp; Young Academy in </w:t>
      </w:r>
      <w:proofErr w:type="gramStart"/>
      <w:r w:rsidRPr="004D7E3F">
        <w:rPr>
          <w:rFonts w:eastAsia="MS Mincho" w:cs="Arial"/>
          <w:bCs/>
          <w:sz w:val="22"/>
          <w:szCs w:val="22"/>
          <w:lang w:val="en-US" w:eastAsia="ja-JP"/>
        </w:rPr>
        <w:t>Moscow,</w:t>
      </w:r>
      <w:proofErr w:type="gramEnd"/>
      <w:r w:rsidRPr="004D7E3F">
        <w:rPr>
          <w:rFonts w:eastAsia="MS Mincho" w:cs="Arial"/>
          <w:bCs/>
          <w:sz w:val="22"/>
          <w:szCs w:val="22"/>
          <w:lang w:val="en-US" w:eastAsia="ja-JP"/>
        </w:rPr>
        <w:t xml:space="preserve"> will be one of the training tutors. “It is standard practice at Ernst &amp; Young to constantly create new products to respond to client needs”, she adds. “MBTI-based </w:t>
      </w:r>
      <w:proofErr w:type="spellStart"/>
      <w:r w:rsidRPr="004D7E3F">
        <w:rPr>
          <w:rFonts w:eastAsia="MS Mincho" w:cs="Arial"/>
          <w:bCs/>
          <w:sz w:val="22"/>
          <w:szCs w:val="22"/>
          <w:lang w:val="en-US" w:eastAsia="ja-JP"/>
        </w:rPr>
        <w:t>programmes</w:t>
      </w:r>
      <w:proofErr w:type="spellEnd"/>
      <w:r w:rsidRPr="004D7E3F">
        <w:rPr>
          <w:rFonts w:eastAsia="MS Mincho" w:cs="Arial"/>
          <w:bCs/>
          <w:sz w:val="22"/>
          <w:szCs w:val="22"/>
          <w:lang w:val="en-US" w:eastAsia="ja-JP"/>
        </w:rPr>
        <w:t xml:space="preserve"> in Russian seemed like the obvious solution. We have experienced MBTI’s success first-hand within our own Ernst &amp; Young divisions. We know what works. The fact that MBTI is the number one personality tool used around the world made our decision even easier.”</w:t>
      </w:r>
      <w:r w:rsidRPr="004D7E3F">
        <w:rPr>
          <w:rFonts w:eastAsia="MS Mincho" w:cs="Arial"/>
          <w:sz w:val="22"/>
          <w:szCs w:val="22"/>
          <w:lang w:val="en-US" w:eastAsia="ja-JP"/>
        </w:rPr>
        <w:t> </w:t>
      </w:r>
    </w:p>
    <w:p w:rsidR="004D7E3F" w:rsidRPr="004D7E3F" w:rsidRDefault="004D7E3F" w:rsidP="004D7E3F">
      <w:pPr>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The </w:t>
      </w:r>
      <w:r w:rsidRPr="004D7E3F">
        <w:rPr>
          <w:rFonts w:eastAsia="MS Mincho" w:cs="Arial"/>
          <w:b/>
          <w:sz w:val="22"/>
          <w:szCs w:val="22"/>
          <w:lang w:val="en-US" w:eastAsia="ja-JP"/>
        </w:rPr>
        <w:t>Myers-Briggs Type Indicator</w:t>
      </w:r>
      <w:r w:rsidRPr="004D7E3F">
        <w:rPr>
          <w:rFonts w:eastAsia="MS Mincho" w:cs="Arial"/>
          <w:sz w:val="22"/>
          <w:szCs w:val="22"/>
          <w:lang w:val="en-US" w:eastAsia="ja-JP"/>
        </w:rPr>
        <w:t xml:space="preserve"> is the world’s most widely used personality tool, with over two million MBTI assessments used each year by government and business </w:t>
      </w:r>
      <w:proofErr w:type="spellStart"/>
      <w:r w:rsidRPr="004D7E3F">
        <w:rPr>
          <w:rFonts w:eastAsia="MS Mincho" w:cs="Arial"/>
          <w:sz w:val="22"/>
          <w:szCs w:val="22"/>
          <w:lang w:val="en-US" w:eastAsia="ja-JP"/>
        </w:rPr>
        <w:t>organisations</w:t>
      </w:r>
      <w:proofErr w:type="spellEnd"/>
      <w:r w:rsidRPr="004D7E3F">
        <w:rPr>
          <w:rFonts w:eastAsia="MS Mincho" w:cs="Arial"/>
          <w:sz w:val="22"/>
          <w:szCs w:val="22"/>
          <w:lang w:val="en-US" w:eastAsia="ja-JP"/>
        </w:rPr>
        <w:t>. This robust, internationally-</w:t>
      </w:r>
      <w:proofErr w:type="spellStart"/>
      <w:r w:rsidRPr="004D7E3F">
        <w:rPr>
          <w:rFonts w:eastAsia="MS Mincho" w:cs="Arial"/>
          <w:sz w:val="22"/>
          <w:szCs w:val="22"/>
          <w:lang w:val="en-US" w:eastAsia="ja-JP"/>
        </w:rPr>
        <w:t>recognised</w:t>
      </w:r>
      <w:proofErr w:type="spellEnd"/>
      <w:r w:rsidRPr="004D7E3F">
        <w:rPr>
          <w:rFonts w:eastAsia="MS Mincho" w:cs="Arial"/>
          <w:sz w:val="22"/>
          <w:szCs w:val="22"/>
          <w:lang w:val="en-US" w:eastAsia="ja-JP"/>
        </w:rPr>
        <w:t xml:space="preserve"> tool brings unrivalled insights into personality and </w:t>
      </w:r>
      <w:proofErr w:type="spellStart"/>
      <w:r w:rsidRPr="004D7E3F">
        <w:rPr>
          <w:rFonts w:eastAsia="MS Mincho" w:cs="Arial"/>
          <w:sz w:val="22"/>
          <w:szCs w:val="22"/>
          <w:lang w:val="en-US" w:eastAsia="ja-JP"/>
        </w:rPr>
        <w:t>behaviour</w:t>
      </w:r>
      <w:proofErr w:type="spellEnd"/>
      <w:r w:rsidRPr="004D7E3F">
        <w:rPr>
          <w:rFonts w:eastAsia="MS Mincho" w:cs="Arial"/>
          <w:sz w:val="22"/>
          <w:szCs w:val="22"/>
          <w:lang w:val="en-US" w:eastAsia="ja-JP"/>
        </w:rPr>
        <w:t xml:space="preserve"> and is the most comprehensive</w:t>
      </w:r>
      <w:r w:rsidRPr="004D7E3F">
        <w:rPr>
          <w:rFonts w:eastAsia="Calibri" w:cs="Arial"/>
          <w:spacing w:val="10"/>
          <w:sz w:val="22"/>
          <w:szCs w:val="22"/>
          <w:lang w:val="en-US" w:eastAsia="ja-JP"/>
        </w:rPr>
        <w:t xml:space="preserve"> </w:t>
      </w:r>
      <w:r w:rsidRPr="004D7E3F">
        <w:rPr>
          <w:rFonts w:eastAsia="MS Mincho" w:cs="Arial"/>
          <w:sz w:val="22"/>
          <w:szCs w:val="22"/>
          <w:lang w:val="en-US" w:eastAsia="ja-JP"/>
        </w:rPr>
        <w:t xml:space="preserve">system for creating sustained improvements in personal effectiveness within multiple business environments.  It unlocks potential in people, developing authentic leaders, building cohesive teams and helping individuals to work more effectively, providing </w:t>
      </w:r>
      <w:proofErr w:type="spellStart"/>
      <w:r w:rsidRPr="004D7E3F">
        <w:rPr>
          <w:rFonts w:eastAsia="MS Mincho" w:cs="Arial"/>
          <w:sz w:val="22"/>
          <w:szCs w:val="22"/>
          <w:lang w:val="en-US" w:eastAsia="ja-JP"/>
        </w:rPr>
        <w:t>organisations</w:t>
      </w:r>
      <w:proofErr w:type="spellEnd"/>
      <w:r w:rsidRPr="004D7E3F">
        <w:rPr>
          <w:rFonts w:eastAsia="MS Mincho" w:cs="Arial"/>
          <w:sz w:val="22"/>
          <w:szCs w:val="22"/>
          <w:lang w:val="en-US" w:eastAsia="ja-JP"/>
        </w:rPr>
        <w:t xml:space="preserve"> with a competitive edge. </w:t>
      </w:r>
    </w:p>
    <w:p w:rsidR="004D7E3F" w:rsidRPr="004D7E3F" w:rsidRDefault="004D7E3F" w:rsidP="004D7E3F">
      <w:pPr>
        <w:spacing w:after="200" w:line="360" w:lineRule="auto"/>
        <w:rPr>
          <w:rFonts w:eastAsia="MS Mincho" w:cs="Arial"/>
          <w:b/>
          <w:sz w:val="22"/>
          <w:szCs w:val="22"/>
          <w:lang w:val="en-US" w:eastAsia="ja-JP"/>
        </w:rPr>
      </w:pPr>
      <w:r w:rsidRPr="004D7E3F">
        <w:rPr>
          <w:rFonts w:eastAsia="MS Mincho" w:cs="Arial"/>
          <w:b/>
          <w:sz w:val="22"/>
          <w:szCs w:val="22"/>
          <w:lang w:val="en-US" w:eastAsia="ja-JP"/>
        </w:rPr>
        <w:t>About OPP</w:t>
      </w:r>
    </w:p>
    <w:p w:rsidR="004D7E3F" w:rsidRPr="004D7E3F" w:rsidRDefault="004D7E3F" w:rsidP="004D7E3F">
      <w:pPr>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OPP </w:t>
      </w:r>
      <w:proofErr w:type="spellStart"/>
      <w:r w:rsidRPr="004D7E3F">
        <w:rPr>
          <w:rFonts w:eastAsia="MS Mincho" w:cs="Arial"/>
          <w:sz w:val="22"/>
          <w:szCs w:val="22"/>
          <w:lang w:val="en-US" w:eastAsia="ja-JP"/>
        </w:rPr>
        <w:t>specialises</w:t>
      </w:r>
      <w:proofErr w:type="spellEnd"/>
      <w:r w:rsidRPr="004D7E3F">
        <w:rPr>
          <w:rFonts w:eastAsia="MS Mincho" w:cs="Arial"/>
          <w:sz w:val="22"/>
          <w:szCs w:val="22"/>
          <w:lang w:val="en-US" w:eastAsia="ja-JP"/>
        </w:rPr>
        <w:t xml:space="preserve"> in personality assessment, enabling people and </w:t>
      </w:r>
      <w:proofErr w:type="spellStart"/>
      <w:r w:rsidRPr="004D7E3F">
        <w:rPr>
          <w:rFonts w:eastAsia="MS Mincho" w:cs="Arial"/>
          <w:sz w:val="22"/>
          <w:szCs w:val="22"/>
          <w:lang w:val="en-US" w:eastAsia="ja-JP"/>
        </w:rPr>
        <w:t>organisations</w:t>
      </w:r>
      <w:proofErr w:type="spellEnd"/>
      <w:r w:rsidRPr="004D7E3F">
        <w:rPr>
          <w:rFonts w:eastAsia="MS Mincho" w:cs="Arial"/>
          <w:sz w:val="22"/>
          <w:szCs w:val="22"/>
          <w:lang w:val="en-US" w:eastAsia="ja-JP"/>
        </w:rPr>
        <w:t xml:space="preserve"> around the world to increase their effectiveness through the innovative application of psychological tools and techniques.</w:t>
      </w:r>
    </w:p>
    <w:p w:rsidR="004D7E3F" w:rsidRPr="004D7E3F" w:rsidRDefault="004D7E3F" w:rsidP="004D7E3F">
      <w:pPr>
        <w:spacing w:after="200" w:line="360" w:lineRule="auto"/>
        <w:rPr>
          <w:rFonts w:eastAsia="MS Mincho" w:cs="Arial"/>
          <w:strike/>
          <w:sz w:val="22"/>
          <w:szCs w:val="22"/>
          <w:lang w:val="en-US" w:eastAsia="ja-JP"/>
        </w:rPr>
      </w:pPr>
      <w:r w:rsidRPr="004D7E3F">
        <w:rPr>
          <w:rFonts w:eastAsia="MS Mincho" w:cs="Arial"/>
          <w:sz w:val="22"/>
          <w:szCs w:val="22"/>
          <w:lang w:val="en-US" w:eastAsia="ja-JP"/>
        </w:rPr>
        <w:t>The company’s market-leading psychometric tools include the world’s most widely used personality assessment - the Myers-Briggs Type Indicator</w:t>
      </w:r>
      <w:r w:rsidRPr="004D7E3F">
        <w:rPr>
          <w:rFonts w:eastAsia="MS Mincho" w:cs="Arial"/>
          <w:sz w:val="22"/>
          <w:szCs w:val="22"/>
          <w:vertAlign w:val="superscript"/>
          <w:lang w:val="en-US" w:eastAsia="ja-JP"/>
        </w:rPr>
        <w:t>®</w:t>
      </w:r>
      <w:r w:rsidRPr="004D7E3F">
        <w:rPr>
          <w:rFonts w:eastAsia="MS Mincho" w:cs="Arial"/>
          <w:sz w:val="22"/>
          <w:szCs w:val="22"/>
          <w:lang w:val="en-US" w:eastAsia="ja-JP"/>
        </w:rPr>
        <w:t xml:space="preserve"> - and the 16PF</w:t>
      </w:r>
      <w:r w:rsidRPr="004D7E3F">
        <w:rPr>
          <w:rFonts w:eastAsia="MS Mincho" w:cs="Arial"/>
          <w:sz w:val="22"/>
          <w:szCs w:val="22"/>
          <w:vertAlign w:val="superscript"/>
          <w:lang w:val="en-US" w:eastAsia="ja-JP"/>
        </w:rPr>
        <w:t>®</w:t>
      </w:r>
      <w:r w:rsidRPr="004D7E3F">
        <w:rPr>
          <w:rFonts w:eastAsia="MS Mincho" w:cs="Arial"/>
          <w:sz w:val="22"/>
          <w:szCs w:val="22"/>
          <w:lang w:val="en-US" w:eastAsia="ja-JP"/>
        </w:rPr>
        <w:t xml:space="preserve"> assessment, which provide high-impact results for recruitment , personal development, teambuilding, leadership development, communication and conflict resolution.</w:t>
      </w:r>
    </w:p>
    <w:p w:rsidR="004D7E3F" w:rsidRPr="004D7E3F" w:rsidRDefault="004D7E3F" w:rsidP="004D7E3F">
      <w:pPr>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Through its highly-effective psychometric-based recruitment and development </w:t>
      </w:r>
      <w:proofErr w:type="spellStart"/>
      <w:r w:rsidRPr="004D7E3F">
        <w:rPr>
          <w:rFonts w:eastAsia="MS Mincho" w:cs="Arial"/>
          <w:sz w:val="22"/>
          <w:szCs w:val="22"/>
          <w:lang w:val="en-US" w:eastAsia="ja-JP"/>
        </w:rPr>
        <w:t>programmes</w:t>
      </w:r>
      <w:proofErr w:type="spellEnd"/>
      <w:r w:rsidRPr="004D7E3F">
        <w:rPr>
          <w:rFonts w:eastAsia="MS Mincho" w:cs="Arial"/>
          <w:sz w:val="22"/>
          <w:szCs w:val="22"/>
          <w:lang w:val="en-US" w:eastAsia="ja-JP"/>
        </w:rPr>
        <w:t xml:space="preserve">, </w:t>
      </w:r>
      <w:proofErr w:type="spellStart"/>
      <w:r w:rsidRPr="004D7E3F">
        <w:rPr>
          <w:rFonts w:eastAsia="MS Mincho" w:cs="Arial"/>
          <w:sz w:val="22"/>
          <w:szCs w:val="22"/>
          <w:lang w:val="en-US" w:eastAsia="ja-JP"/>
        </w:rPr>
        <w:t>OPP</w:t>
      </w:r>
      <w:proofErr w:type="spellEnd"/>
      <w:r w:rsidRPr="004D7E3F">
        <w:rPr>
          <w:rFonts w:eastAsia="MS Mincho" w:cs="Arial"/>
          <w:sz w:val="22"/>
          <w:szCs w:val="22"/>
          <w:lang w:val="en-US" w:eastAsia="ja-JP"/>
        </w:rPr>
        <w:t xml:space="preserve"> has transformed thousands of </w:t>
      </w:r>
      <w:proofErr w:type="spellStart"/>
      <w:r w:rsidRPr="004D7E3F">
        <w:rPr>
          <w:rFonts w:eastAsia="MS Mincho" w:cs="Arial"/>
          <w:sz w:val="22"/>
          <w:szCs w:val="22"/>
          <w:lang w:val="en-US" w:eastAsia="ja-JP"/>
        </w:rPr>
        <w:t>organisations</w:t>
      </w:r>
      <w:proofErr w:type="spellEnd"/>
      <w:r w:rsidRPr="004D7E3F">
        <w:rPr>
          <w:rFonts w:eastAsia="MS Mincho" w:cs="Arial"/>
          <w:sz w:val="22"/>
          <w:szCs w:val="22"/>
          <w:lang w:val="en-US" w:eastAsia="ja-JP"/>
        </w:rPr>
        <w:t xml:space="preserve"> globally over the past 25 years, including the majority of the UK’s FTSE 100.</w:t>
      </w:r>
    </w:p>
    <w:p w:rsidR="004D7E3F" w:rsidRPr="004D7E3F" w:rsidRDefault="004D7E3F" w:rsidP="004D7E3F">
      <w:pPr>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For more information about OPP, visit </w:t>
      </w:r>
      <w:hyperlink r:id="rId6" w:history="1">
        <w:r w:rsidRPr="004D7E3F">
          <w:rPr>
            <w:rFonts w:eastAsia="MS Mincho" w:cs="Arial"/>
            <w:color w:val="0000FF"/>
            <w:sz w:val="22"/>
            <w:szCs w:val="22"/>
            <w:u w:val="single"/>
            <w:lang w:val="en-US" w:eastAsia="ja-JP"/>
          </w:rPr>
          <w:t>www.opp.com</w:t>
        </w:r>
      </w:hyperlink>
    </w:p>
    <w:p w:rsidR="004D7E3F" w:rsidRPr="004D7E3F" w:rsidRDefault="004D7E3F" w:rsidP="004D7E3F">
      <w:pPr>
        <w:spacing w:after="200" w:line="360" w:lineRule="auto"/>
        <w:jc w:val="both"/>
        <w:rPr>
          <w:rFonts w:eastAsia="MS Mincho" w:cs="Arial"/>
          <w:b/>
          <w:bCs/>
          <w:color w:val="000000"/>
          <w:sz w:val="22"/>
          <w:szCs w:val="22"/>
          <w:lang w:val="en-US" w:eastAsia="ru-RU"/>
        </w:rPr>
      </w:pPr>
      <w:r w:rsidRPr="004D7E3F">
        <w:rPr>
          <w:rFonts w:eastAsia="MS Mincho" w:cs="Arial"/>
          <w:b/>
          <w:bCs/>
          <w:color w:val="000000"/>
          <w:sz w:val="22"/>
          <w:szCs w:val="22"/>
          <w:lang w:val="en-US" w:eastAsia="ru-RU"/>
        </w:rPr>
        <w:t xml:space="preserve">About the Ernst &amp; Young Academy of Business </w:t>
      </w:r>
    </w:p>
    <w:p w:rsidR="004D7E3F" w:rsidRPr="004D7E3F" w:rsidRDefault="004D7E3F" w:rsidP="004D7E3F">
      <w:pPr>
        <w:tabs>
          <w:tab w:val="left" w:pos="-180"/>
          <w:tab w:val="left" w:pos="0"/>
        </w:tabs>
        <w:spacing w:after="200" w:line="360" w:lineRule="auto"/>
        <w:rPr>
          <w:rFonts w:eastAsia="MS Mincho" w:cs="Arial"/>
          <w:sz w:val="22"/>
          <w:szCs w:val="22"/>
          <w:lang w:val="en-US" w:eastAsia="ja-JP"/>
        </w:rPr>
      </w:pPr>
      <w:r w:rsidRPr="004D7E3F">
        <w:rPr>
          <w:rFonts w:eastAsia="MS Mincho" w:cs="Arial"/>
          <w:sz w:val="22"/>
          <w:szCs w:val="22"/>
          <w:lang w:val="en-US" w:eastAsia="ja-JP"/>
        </w:rPr>
        <w:t>The Ernst &amp; Young Academy of Business is a leader on the CIS market of professional and continuing professional education.</w:t>
      </w:r>
    </w:p>
    <w:p w:rsidR="004D7E3F" w:rsidRPr="004D7E3F" w:rsidRDefault="004D7E3F" w:rsidP="004D7E3F">
      <w:pPr>
        <w:autoSpaceDE w:val="0"/>
        <w:autoSpaceDN w:val="0"/>
        <w:adjustRightInd w:val="0"/>
        <w:spacing w:after="200" w:line="360" w:lineRule="auto"/>
        <w:rPr>
          <w:rFonts w:eastAsia="MS Mincho" w:cs="Arial"/>
          <w:sz w:val="22"/>
          <w:szCs w:val="22"/>
          <w:lang w:val="en-US" w:eastAsia="ja-JP"/>
        </w:rPr>
      </w:pPr>
      <w:r w:rsidRPr="004D7E3F">
        <w:rPr>
          <w:rFonts w:eastAsia="MS Mincho" w:cs="Arial"/>
          <w:sz w:val="22"/>
          <w:szCs w:val="22"/>
          <w:lang w:val="en-US" w:eastAsia="ja-JP"/>
        </w:rPr>
        <w:t>The Academy of Business offers the following services:</w:t>
      </w:r>
    </w:p>
    <w:p w:rsidR="004D7E3F" w:rsidRPr="004D7E3F" w:rsidRDefault="004D7E3F" w:rsidP="004D7E3F">
      <w:pPr>
        <w:numPr>
          <w:ilvl w:val="0"/>
          <w:numId w:val="6"/>
        </w:numPr>
        <w:spacing w:after="200" w:line="360" w:lineRule="auto"/>
        <w:rPr>
          <w:rFonts w:eastAsia="MS Mincho" w:cs="Arial"/>
          <w:sz w:val="22"/>
          <w:szCs w:val="22"/>
          <w:lang w:val="en-US" w:eastAsia="ja-JP"/>
        </w:rPr>
      </w:pPr>
      <w:r w:rsidRPr="004D7E3F">
        <w:rPr>
          <w:rFonts w:eastAsia="MS Mincho" w:cs="Arial"/>
          <w:sz w:val="22"/>
          <w:szCs w:val="22"/>
          <w:lang w:val="en-US" w:eastAsia="ja-JP"/>
        </w:rPr>
        <w:t>Open training (over 100 training topics)</w:t>
      </w:r>
    </w:p>
    <w:p w:rsidR="004D7E3F" w:rsidRPr="004D7E3F" w:rsidRDefault="004D7E3F" w:rsidP="004D7E3F">
      <w:pPr>
        <w:numPr>
          <w:ilvl w:val="0"/>
          <w:numId w:val="6"/>
        </w:numPr>
        <w:spacing w:after="200" w:line="360" w:lineRule="auto"/>
        <w:rPr>
          <w:rFonts w:eastAsia="MS Mincho" w:cs="Arial"/>
          <w:sz w:val="22"/>
          <w:szCs w:val="22"/>
          <w:lang w:val="en-US" w:eastAsia="ja-JP"/>
        </w:rPr>
      </w:pPr>
      <w:r w:rsidRPr="004D7E3F">
        <w:rPr>
          <w:rFonts w:eastAsia="MS Mincho" w:cs="Arial"/>
          <w:sz w:val="22"/>
          <w:szCs w:val="22"/>
          <w:lang w:val="en-US" w:eastAsia="ja-JP"/>
        </w:rPr>
        <w:t>Webinars</w:t>
      </w:r>
    </w:p>
    <w:p w:rsidR="004D7E3F" w:rsidRPr="004D7E3F" w:rsidRDefault="004D7E3F" w:rsidP="004D7E3F">
      <w:pPr>
        <w:numPr>
          <w:ilvl w:val="0"/>
          <w:numId w:val="6"/>
        </w:numPr>
        <w:spacing w:after="200" w:line="360" w:lineRule="auto"/>
        <w:rPr>
          <w:rFonts w:eastAsia="MS Mincho" w:cs="Arial"/>
          <w:sz w:val="22"/>
          <w:szCs w:val="22"/>
          <w:lang w:val="en-US" w:eastAsia="ja-JP"/>
        </w:rPr>
      </w:pPr>
      <w:r w:rsidRPr="004D7E3F">
        <w:rPr>
          <w:rFonts w:eastAsia="MS Mincho" w:cs="Arial"/>
          <w:sz w:val="22"/>
          <w:szCs w:val="22"/>
          <w:lang w:val="en-US" w:eastAsia="ja-JP"/>
        </w:rPr>
        <w:lastRenderedPageBreak/>
        <w:t>Preparatory programs for international qualifications (</w:t>
      </w:r>
      <w:proofErr w:type="spellStart"/>
      <w:r w:rsidRPr="004D7E3F">
        <w:rPr>
          <w:rFonts w:eastAsia="MS Mincho" w:cs="Arial"/>
          <w:sz w:val="22"/>
          <w:szCs w:val="22"/>
          <w:lang w:val="en-US" w:eastAsia="ja-JP"/>
        </w:rPr>
        <w:t>DipIFR</w:t>
      </w:r>
      <w:proofErr w:type="spellEnd"/>
      <w:r w:rsidRPr="004D7E3F">
        <w:rPr>
          <w:rFonts w:eastAsia="MS Mincho" w:cs="Arial"/>
          <w:sz w:val="22"/>
          <w:szCs w:val="22"/>
          <w:lang w:val="en-US" w:eastAsia="ja-JP"/>
        </w:rPr>
        <w:t xml:space="preserve"> (</w:t>
      </w:r>
      <w:proofErr w:type="spellStart"/>
      <w:r w:rsidRPr="004D7E3F">
        <w:rPr>
          <w:rFonts w:eastAsia="MS Mincho" w:cs="Arial"/>
          <w:sz w:val="22"/>
          <w:szCs w:val="22"/>
          <w:lang w:val="en-US" w:eastAsia="ja-JP"/>
        </w:rPr>
        <w:t>Rus</w:t>
      </w:r>
      <w:proofErr w:type="spellEnd"/>
      <w:r w:rsidRPr="004D7E3F">
        <w:rPr>
          <w:rFonts w:eastAsia="MS Mincho" w:cs="Arial"/>
          <w:sz w:val="22"/>
          <w:szCs w:val="22"/>
          <w:lang w:val="en-US" w:eastAsia="ja-JP"/>
        </w:rPr>
        <w:t>), ACCA, CIA</w:t>
      </w:r>
      <w:r w:rsidRPr="004D7E3F">
        <w:rPr>
          <w:rFonts w:eastAsia="MS Mincho" w:cs="Arial"/>
          <w:sz w:val="22"/>
          <w:szCs w:val="22"/>
          <w:vertAlign w:val="superscript"/>
          <w:lang w:val="en-US" w:eastAsia="ja-JP"/>
        </w:rPr>
        <w:t>®</w:t>
      </w:r>
      <w:r w:rsidRPr="004D7E3F">
        <w:rPr>
          <w:rFonts w:eastAsia="MS Mincho" w:cs="Arial"/>
          <w:sz w:val="22"/>
          <w:szCs w:val="22"/>
          <w:lang w:val="en-US" w:eastAsia="ja-JP"/>
        </w:rPr>
        <w:t>, CFA</w:t>
      </w:r>
      <w:r w:rsidRPr="004D7E3F">
        <w:rPr>
          <w:rFonts w:eastAsia="MS Mincho" w:cs="Arial"/>
          <w:sz w:val="22"/>
          <w:szCs w:val="22"/>
          <w:vertAlign w:val="superscript"/>
          <w:lang w:val="en-US" w:eastAsia="ja-JP"/>
        </w:rPr>
        <w:t>®</w:t>
      </w:r>
      <w:r w:rsidRPr="004D7E3F">
        <w:rPr>
          <w:rFonts w:eastAsia="MS Mincho" w:cs="Arial"/>
          <w:sz w:val="22"/>
          <w:szCs w:val="22"/>
          <w:lang w:val="en-US" w:eastAsia="ja-JP"/>
        </w:rPr>
        <w:t>)</w:t>
      </w:r>
    </w:p>
    <w:p w:rsidR="004D7E3F" w:rsidRPr="004D7E3F" w:rsidRDefault="004D7E3F" w:rsidP="004D7E3F">
      <w:pPr>
        <w:numPr>
          <w:ilvl w:val="0"/>
          <w:numId w:val="6"/>
        </w:numPr>
        <w:spacing w:after="200" w:line="360" w:lineRule="auto"/>
        <w:rPr>
          <w:rFonts w:eastAsia="MS Mincho" w:cs="Arial"/>
          <w:sz w:val="22"/>
          <w:szCs w:val="22"/>
          <w:lang w:val="en-US" w:eastAsia="ja-JP"/>
        </w:rPr>
      </w:pPr>
      <w:r w:rsidRPr="004D7E3F">
        <w:rPr>
          <w:rFonts w:eastAsia="MS Mincho" w:cs="Arial"/>
          <w:sz w:val="22"/>
          <w:szCs w:val="22"/>
          <w:lang w:val="en-US" w:eastAsia="ja-JP"/>
        </w:rPr>
        <w:t>Corporate education, m</w:t>
      </w:r>
      <w:r w:rsidRPr="004D7E3F">
        <w:rPr>
          <w:rFonts w:eastAsia="MS Mincho" w:cs="Arial"/>
          <w:bCs/>
          <w:sz w:val="22"/>
          <w:szCs w:val="22"/>
          <w:lang w:val="en-US" w:eastAsia="ja-JP"/>
        </w:rPr>
        <w:t>ost of the programs offered can be tailored to accommodate industry specifics.</w:t>
      </w:r>
    </w:p>
    <w:p w:rsidR="004D7E3F" w:rsidRPr="004D7E3F" w:rsidRDefault="004D7E3F" w:rsidP="004D7E3F">
      <w:pPr>
        <w:autoSpaceDE w:val="0"/>
        <w:autoSpaceDN w:val="0"/>
        <w:adjustRightInd w:val="0"/>
        <w:spacing w:after="200" w:line="360" w:lineRule="auto"/>
        <w:rPr>
          <w:rFonts w:eastAsia="MS Mincho" w:cs="Arial"/>
          <w:sz w:val="22"/>
          <w:szCs w:val="22"/>
          <w:lang w:val="en-US" w:eastAsia="ja-JP"/>
        </w:rPr>
      </w:pPr>
      <w:r w:rsidRPr="004D7E3F">
        <w:rPr>
          <w:rFonts w:eastAsia="MS Mincho" w:cs="Arial"/>
          <w:sz w:val="22"/>
          <w:szCs w:val="22"/>
          <w:lang w:val="en-US" w:eastAsia="ja-JP"/>
        </w:rPr>
        <w:t>The Ernst &amp; Young Academy of Business in the CIS:</w:t>
      </w:r>
    </w:p>
    <w:p w:rsidR="004D7E3F" w:rsidRPr="004D7E3F" w:rsidRDefault="004D7E3F" w:rsidP="004D7E3F">
      <w:pPr>
        <w:numPr>
          <w:ilvl w:val="0"/>
          <w:numId w:val="6"/>
        </w:numPr>
        <w:tabs>
          <w:tab w:val="num" w:pos="1620"/>
        </w:tabs>
        <w:spacing w:after="200" w:line="360" w:lineRule="auto"/>
        <w:rPr>
          <w:rFonts w:eastAsia="MS Mincho" w:cs="Arial"/>
          <w:sz w:val="22"/>
          <w:szCs w:val="22"/>
          <w:lang w:val="en-US" w:eastAsia="ja-JP"/>
        </w:rPr>
      </w:pPr>
      <w:r w:rsidRPr="004D7E3F">
        <w:rPr>
          <w:rFonts w:eastAsia="MS Mincho" w:cs="Arial"/>
          <w:sz w:val="22"/>
          <w:szCs w:val="22"/>
          <w:lang w:val="en-US" w:eastAsia="ja-JP"/>
        </w:rPr>
        <w:t>Provides ACCA members with continuous professional development (CPD-units)</w:t>
      </w:r>
    </w:p>
    <w:p w:rsidR="004D7E3F" w:rsidRPr="004D7E3F" w:rsidRDefault="004D7E3F" w:rsidP="004D7E3F">
      <w:pPr>
        <w:numPr>
          <w:ilvl w:val="0"/>
          <w:numId w:val="6"/>
        </w:numPr>
        <w:tabs>
          <w:tab w:val="num" w:pos="1620"/>
        </w:tabs>
        <w:spacing w:after="200" w:line="360" w:lineRule="auto"/>
        <w:rPr>
          <w:rFonts w:eastAsia="MS Mincho" w:cs="Arial"/>
          <w:sz w:val="22"/>
          <w:szCs w:val="22"/>
          <w:lang w:val="en-US" w:eastAsia="ja-JP"/>
        </w:rPr>
      </w:pPr>
      <w:r w:rsidRPr="004D7E3F">
        <w:rPr>
          <w:rFonts w:eastAsia="MS Mincho" w:cs="Arial"/>
          <w:sz w:val="22"/>
          <w:szCs w:val="22"/>
          <w:lang w:val="en-US" w:eastAsia="ja-JP"/>
        </w:rPr>
        <w:t>Is registered with the NASBA as a Sponsor of continuing professional education for CPA, CMA, CFM, CIA-qualified professionals (CPE-credits)</w:t>
      </w:r>
    </w:p>
    <w:p w:rsidR="004D7E3F" w:rsidRPr="004D7E3F" w:rsidRDefault="004D7E3F" w:rsidP="004D7E3F">
      <w:pPr>
        <w:numPr>
          <w:ilvl w:val="0"/>
          <w:numId w:val="6"/>
        </w:numPr>
        <w:tabs>
          <w:tab w:val="num" w:pos="1620"/>
        </w:tabs>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Is accredited as an ACCA Tuition Provider (Platinum Approved Learning Partner) </w:t>
      </w:r>
    </w:p>
    <w:p w:rsidR="004D7E3F" w:rsidRPr="004D7E3F" w:rsidRDefault="004D7E3F" w:rsidP="004D7E3F">
      <w:pPr>
        <w:numPr>
          <w:ilvl w:val="0"/>
          <w:numId w:val="6"/>
        </w:numPr>
        <w:tabs>
          <w:tab w:val="num" w:pos="1620"/>
        </w:tabs>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Is an Alliance Partner of OPP </w:t>
      </w:r>
      <w:proofErr w:type="gramStart"/>
      <w:r w:rsidRPr="004D7E3F">
        <w:rPr>
          <w:rFonts w:eastAsia="MS Mincho" w:cs="Arial"/>
          <w:sz w:val="22"/>
          <w:szCs w:val="22"/>
          <w:lang w:val="en-US" w:eastAsia="ja-JP"/>
        </w:rPr>
        <w:t>Limited.</w:t>
      </w:r>
      <w:proofErr w:type="gramEnd"/>
    </w:p>
    <w:p w:rsidR="004D7E3F" w:rsidRPr="004D7E3F" w:rsidRDefault="004D7E3F" w:rsidP="004D7E3F">
      <w:pPr>
        <w:spacing w:after="200" w:line="360" w:lineRule="auto"/>
        <w:rPr>
          <w:rFonts w:eastAsia="MS Mincho" w:cs="Arial"/>
          <w:sz w:val="22"/>
          <w:szCs w:val="22"/>
          <w:lang w:val="en-US" w:eastAsia="ja-JP"/>
        </w:rPr>
      </w:pPr>
      <w:r w:rsidRPr="004D7E3F">
        <w:rPr>
          <w:rFonts w:eastAsia="MS Mincho" w:cs="Arial"/>
          <w:sz w:val="22"/>
          <w:szCs w:val="22"/>
          <w:lang w:val="en-US" w:eastAsia="ja-JP"/>
        </w:rPr>
        <w:t xml:space="preserve">For more information, please visit </w:t>
      </w:r>
      <w:hyperlink r:id="rId7" w:history="1">
        <w:r w:rsidRPr="004D7E3F">
          <w:rPr>
            <w:rFonts w:eastAsia="MS Mincho" w:cs="Arial"/>
            <w:color w:val="0000FF"/>
            <w:sz w:val="22"/>
            <w:szCs w:val="22"/>
            <w:u w:val="single"/>
            <w:lang w:val="en-US" w:eastAsia="ja-JP"/>
          </w:rPr>
          <w:t>www.ey.com/cis/academy</w:t>
        </w:r>
      </w:hyperlink>
    </w:p>
    <w:p w:rsidR="004D7E3F" w:rsidRPr="004D7E3F" w:rsidRDefault="004D7E3F" w:rsidP="004D7E3F">
      <w:pPr>
        <w:spacing w:after="200" w:line="360" w:lineRule="auto"/>
        <w:jc w:val="both"/>
        <w:rPr>
          <w:rFonts w:eastAsia="MS Mincho" w:cs="Arial"/>
          <w:b/>
          <w:bCs/>
          <w:color w:val="000000"/>
          <w:sz w:val="22"/>
          <w:szCs w:val="22"/>
          <w:lang w:val="en-US" w:eastAsia="ru-RU"/>
        </w:rPr>
      </w:pPr>
      <w:r w:rsidRPr="004D7E3F">
        <w:rPr>
          <w:rFonts w:eastAsia="MS Mincho" w:cs="Arial"/>
          <w:b/>
          <w:bCs/>
          <w:color w:val="000000"/>
          <w:sz w:val="22"/>
          <w:szCs w:val="22"/>
          <w:lang w:val="en-US" w:eastAsia="ru-RU"/>
        </w:rPr>
        <w:t>About Ernst &amp; Young</w:t>
      </w:r>
    </w:p>
    <w:p w:rsidR="004D7E3F" w:rsidRPr="004D7E3F" w:rsidRDefault="004D7E3F" w:rsidP="004D7E3F">
      <w:pPr>
        <w:spacing w:after="200" w:line="360" w:lineRule="auto"/>
        <w:rPr>
          <w:rFonts w:eastAsia="MS Mincho" w:cs="Arial"/>
          <w:color w:val="000000"/>
          <w:sz w:val="22"/>
          <w:szCs w:val="22"/>
          <w:lang w:val="en-US" w:eastAsia="ru-RU"/>
        </w:rPr>
      </w:pPr>
      <w:r w:rsidRPr="004D7E3F">
        <w:rPr>
          <w:rFonts w:eastAsia="MS Mincho" w:cs="Arial"/>
          <w:color w:val="000000"/>
          <w:sz w:val="22"/>
          <w:szCs w:val="22"/>
          <w:lang w:val="en-US" w:eastAsia="ru-RU"/>
        </w:rPr>
        <w:t xml:space="preserve">Ernst &amp; Young is a global leader in assurance, tax, transaction and advisory services. Worldwide, our 167,000 people are united by our shared values and an unwavering commitment to quality. We make a difference by helping our people, our clients and our wider communities achieve their potential. </w:t>
      </w:r>
    </w:p>
    <w:p w:rsidR="004D7E3F" w:rsidRPr="004D7E3F" w:rsidRDefault="004D7E3F" w:rsidP="004D7E3F">
      <w:pPr>
        <w:spacing w:after="200" w:line="360" w:lineRule="auto"/>
        <w:rPr>
          <w:rFonts w:eastAsia="MS Mincho" w:cs="Arial"/>
          <w:color w:val="000000"/>
          <w:sz w:val="22"/>
          <w:szCs w:val="22"/>
          <w:lang w:val="en-US" w:eastAsia="ru-RU"/>
        </w:rPr>
      </w:pPr>
      <w:r w:rsidRPr="004D7E3F">
        <w:rPr>
          <w:rFonts w:eastAsia="MS Mincho" w:cs="Arial"/>
          <w:color w:val="000000"/>
          <w:sz w:val="22"/>
          <w:szCs w:val="22"/>
          <w:lang w:val="en-US" w:eastAsia="ru-RU"/>
        </w:rPr>
        <w:t xml:space="preserve">Ernst &amp; Young expands its services and resources in accordance with clients’ needs throughout the CIS. 4,000 professionals work at 19 offices in Moscow, St. Petersburg, Novosibirsk, </w:t>
      </w:r>
      <w:proofErr w:type="spellStart"/>
      <w:r w:rsidRPr="004D7E3F">
        <w:rPr>
          <w:rFonts w:eastAsia="MS Mincho" w:cs="Arial"/>
          <w:color w:val="000000"/>
          <w:sz w:val="22"/>
          <w:szCs w:val="22"/>
          <w:lang w:val="en-US" w:eastAsia="ru-RU"/>
        </w:rPr>
        <w:t>Ekaterinburg</w:t>
      </w:r>
      <w:proofErr w:type="spellEnd"/>
      <w:r w:rsidRPr="004D7E3F">
        <w:rPr>
          <w:rFonts w:eastAsia="MS Mincho" w:cs="Arial"/>
          <w:color w:val="000000"/>
          <w:sz w:val="22"/>
          <w:szCs w:val="22"/>
          <w:lang w:val="en-US" w:eastAsia="ru-RU"/>
        </w:rPr>
        <w:t xml:space="preserve">, Kazan, Krasnodar, Togliatti, Vladivostok, </w:t>
      </w:r>
      <w:proofErr w:type="spellStart"/>
      <w:r w:rsidRPr="004D7E3F">
        <w:rPr>
          <w:rFonts w:eastAsia="MS Mincho" w:cs="Arial"/>
          <w:color w:val="000000"/>
          <w:sz w:val="22"/>
          <w:szCs w:val="22"/>
          <w:lang w:val="en-US" w:eastAsia="ru-RU"/>
        </w:rPr>
        <w:t>Yuzhno-Sakhalinsk</w:t>
      </w:r>
      <w:proofErr w:type="spellEnd"/>
      <w:r w:rsidRPr="004D7E3F">
        <w:rPr>
          <w:rFonts w:eastAsia="MS Mincho" w:cs="Arial"/>
          <w:color w:val="000000"/>
          <w:sz w:val="22"/>
          <w:szCs w:val="22"/>
          <w:lang w:val="en-US" w:eastAsia="ru-RU"/>
        </w:rPr>
        <w:t xml:space="preserve">, Almaty, Astana, </w:t>
      </w:r>
      <w:proofErr w:type="spellStart"/>
      <w:r w:rsidRPr="004D7E3F">
        <w:rPr>
          <w:rFonts w:eastAsia="MS Mincho" w:cs="Arial"/>
          <w:color w:val="000000"/>
          <w:sz w:val="22"/>
          <w:szCs w:val="22"/>
          <w:lang w:val="en-US" w:eastAsia="ru-RU"/>
        </w:rPr>
        <w:t>Atyrau</w:t>
      </w:r>
      <w:proofErr w:type="spellEnd"/>
      <w:r w:rsidRPr="004D7E3F">
        <w:rPr>
          <w:rFonts w:eastAsia="MS Mincho" w:cs="Arial"/>
          <w:color w:val="000000"/>
          <w:sz w:val="22"/>
          <w:szCs w:val="22"/>
          <w:lang w:val="en-US" w:eastAsia="ru-RU"/>
        </w:rPr>
        <w:t>, Baku, Kyiv, Donetsk, Tashkent, Tbilisi, Yerevan, and Minsk.</w:t>
      </w:r>
    </w:p>
    <w:p w:rsidR="00BA4254" w:rsidRDefault="004D7E3F" w:rsidP="004D7E3F">
      <w:pPr>
        <w:spacing w:after="200" w:line="360" w:lineRule="auto"/>
        <w:rPr>
          <w:rFonts w:eastAsia="MS Mincho" w:cs="Arial"/>
          <w:color w:val="0000FF"/>
          <w:sz w:val="22"/>
          <w:szCs w:val="22"/>
          <w:u w:val="single"/>
          <w:lang w:val="en-US" w:eastAsia="ru-RU"/>
        </w:rPr>
      </w:pPr>
      <w:r w:rsidRPr="004D7E3F">
        <w:rPr>
          <w:rFonts w:eastAsia="MS Mincho" w:cs="Arial"/>
          <w:color w:val="000000"/>
          <w:sz w:val="22"/>
          <w:szCs w:val="22"/>
          <w:lang w:val="en-US" w:eastAsia="ru-RU"/>
        </w:rPr>
        <w:t xml:space="preserve">For more information about our </w:t>
      </w:r>
      <w:proofErr w:type="spellStart"/>
      <w:r w:rsidRPr="004D7E3F">
        <w:rPr>
          <w:rFonts w:eastAsia="MS Mincho" w:cs="Arial"/>
          <w:color w:val="000000"/>
          <w:sz w:val="22"/>
          <w:szCs w:val="22"/>
          <w:lang w:val="en-US" w:eastAsia="ru-RU"/>
        </w:rPr>
        <w:t>organisation</w:t>
      </w:r>
      <w:proofErr w:type="spellEnd"/>
      <w:r w:rsidRPr="004D7E3F">
        <w:rPr>
          <w:rFonts w:eastAsia="MS Mincho" w:cs="Arial"/>
          <w:color w:val="000000"/>
          <w:sz w:val="22"/>
          <w:szCs w:val="22"/>
          <w:lang w:val="en-US" w:eastAsia="ru-RU"/>
        </w:rPr>
        <w:t xml:space="preserve">, please visit </w:t>
      </w:r>
      <w:hyperlink r:id="rId8" w:history="1">
        <w:r w:rsidRPr="004D7E3F">
          <w:rPr>
            <w:rFonts w:eastAsia="MS Mincho" w:cs="Arial"/>
            <w:color w:val="0000FF"/>
            <w:sz w:val="22"/>
            <w:szCs w:val="22"/>
            <w:u w:val="single"/>
            <w:lang w:val="en-US" w:eastAsia="ru-RU"/>
          </w:rPr>
          <w:t>www.ey.com</w:t>
        </w:r>
      </w:hyperlink>
    </w:p>
    <w:p w:rsidR="00354A7A" w:rsidRPr="004D7E3F" w:rsidRDefault="00354A7A" w:rsidP="004D7E3F">
      <w:pPr>
        <w:spacing w:after="200" w:line="360" w:lineRule="auto"/>
        <w:rPr>
          <w:rFonts w:eastAsia="MS Mincho" w:cs="Arial"/>
          <w:color w:val="000000"/>
          <w:sz w:val="22"/>
          <w:szCs w:val="22"/>
          <w:lang w:val="en-US" w:eastAsia="ru-RU"/>
        </w:rPr>
      </w:pPr>
    </w:p>
    <w:p w:rsidR="00BA4254" w:rsidRPr="003A6C49" w:rsidRDefault="00BA4254" w:rsidP="00BA4254">
      <w:pPr>
        <w:jc w:val="center"/>
        <w:rPr>
          <w:b/>
          <w:sz w:val="22"/>
          <w:szCs w:val="22"/>
          <w:lang w:val="en-US"/>
        </w:rPr>
      </w:pPr>
      <w:r w:rsidRPr="003A6C49">
        <w:rPr>
          <w:b/>
          <w:sz w:val="22"/>
          <w:szCs w:val="22"/>
          <w:lang w:val="en-US"/>
        </w:rPr>
        <w:t>ENDS</w:t>
      </w:r>
    </w:p>
    <w:p w:rsidR="00AA3CF7" w:rsidRDefault="00AA3CF7" w:rsidP="00BA4254">
      <w:pPr>
        <w:rPr>
          <w:b/>
          <w:bCs/>
          <w:sz w:val="22"/>
          <w:szCs w:val="22"/>
          <w:lang w:val="en-US"/>
        </w:rPr>
      </w:pPr>
    </w:p>
    <w:p w:rsidR="00AA3CF7" w:rsidRDefault="00AA3CF7" w:rsidP="00BA4254">
      <w:pPr>
        <w:rPr>
          <w:b/>
          <w:bCs/>
          <w:sz w:val="22"/>
          <w:szCs w:val="22"/>
          <w:lang w:val="en-US"/>
        </w:rPr>
      </w:pPr>
    </w:p>
    <w:p w:rsidR="00BA4254" w:rsidRPr="000C0D89" w:rsidRDefault="00BA4254" w:rsidP="00BA4254">
      <w:pPr>
        <w:rPr>
          <w:b/>
          <w:bCs/>
          <w:sz w:val="22"/>
          <w:szCs w:val="22"/>
          <w:lang w:val="en-US"/>
        </w:rPr>
      </w:pPr>
      <w:r w:rsidRPr="000C0D89">
        <w:rPr>
          <w:b/>
          <w:bCs/>
          <w:sz w:val="22"/>
          <w:szCs w:val="22"/>
          <w:lang w:val="en-US"/>
        </w:rPr>
        <w:t xml:space="preserve">Issued by Flagship Consulting </w:t>
      </w:r>
    </w:p>
    <w:p w:rsidR="00BA4254" w:rsidRPr="000C0D89" w:rsidRDefault="00BA4254" w:rsidP="00BA4254">
      <w:pPr>
        <w:rPr>
          <w:b/>
          <w:bCs/>
          <w:sz w:val="22"/>
          <w:szCs w:val="22"/>
          <w:lang w:val="en-US"/>
        </w:rPr>
      </w:pPr>
    </w:p>
    <w:p w:rsidR="00BA4254" w:rsidRDefault="00BA4254" w:rsidP="00354A7A">
      <w:pPr>
        <w:spacing w:line="360" w:lineRule="auto"/>
        <w:rPr>
          <w:sz w:val="22"/>
          <w:szCs w:val="22"/>
          <w:lang w:val="en-US"/>
        </w:rPr>
      </w:pPr>
      <w:r w:rsidRPr="000C0D89">
        <w:rPr>
          <w:sz w:val="22"/>
          <w:szCs w:val="22"/>
          <w:lang w:val="en-US"/>
        </w:rPr>
        <w:t xml:space="preserve">Sarah Catterick </w:t>
      </w:r>
      <w:hyperlink r:id="rId9" w:history="1">
        <w:r w:rsidRPr="000C0D89">
          <w:rPr>
            <w:rStyle w:val="Hyperlink"/>
            <w:sz w:val="22"/>
            <w:szCs w:val="22"/>
            <w:lang w:val="en-US"/>
          </w:rPr>
          <w:t>sarah.catterick@flagshipconsulting.co.uk</w:t>
        </w:r>
      </w:hyperlink>
      <w:r w:rsidRPr="000C0D89">
        <w:rPr>
          <w:sz w:val="22"/>
          <w:szCs w:val="22"/>
          <w:lang w:val="en-US"/>
        </w:rPr>
        <w:t xml:space="preserve"> 0207 886 8452</w:t>
      </w:r>
    </w:p>
    <w:p w:rsidR="005D5511" w:rsidRPr="00B1424F" w:rsidRDefault="005D5511" w:rsidP="00354A7A">
      <w:pPr>
        <w:spacing w:line="360" w:lineRule="auto"/>
        <w:rPr>
          <w:sz w:val="22"/>
          <w:szCs w:val="22"/>
          <w:lang w:val="en-US"/>
        </w:rPr>
      </w:pPr>
      <w:r>
        <w:rPr>
          <w:sz w:val="22"/>
          <w:szCs w:val="22"/>
          <w:lang w:val="en-US"/>
        </w:rPr>
        <w:t xml:space="preserve">Callum McCaig </w:t>
      </w:r>
      <w:hyperlink r:id="rId10" w:history="1">
        <w:r w:rsidRPr="00F21E58">
          <w:rPr>
            <w:rStyle w:val="Hyperlink"/>
            <w:sz w:val="22"/>
            <w:szCs w:val="22"/>
            <w:lang w:val="en-US"/>
          </w:rPr>
          <w:t>callum.mccaig@flagshipconsulting.co.uk</w:t>
        </w:r>
      </w:hyperlink>
      <w:r>
        <w:rPr>
          <w:sz w:val="22"/>
          <w:szCs w:val="22"/>
          <w:lang w:val="en-US"/>
        </w:rPr>
        <w:t xml:space="preserve"> 0207 886 8447</w:t>
      </w:r>
    </w:p>
    <w:p w:rsidR="00BA4254" w:rsidRDefault="00BA4254" w:rsidP="00BA4254">
      <w:pPr>
        <w:rPr>
          <w:rFonts w:ascii="LTSpitz Light" w:hAnsi="LTSpitz Light" w:cs="LTSpitz Light"/>
        </w:rPr>
      </w:pPr>
    </w:p>
    <w:p w:rsidR="00BA4254" w:rsidRPr="00BA4254" w:rsidRDefault="00BA4254" w:rsidP="00BA4254">
      <w:pPr>
        <w:spacing w:line="360" w:lineRule="auto"/>
        <w:rPr>
          <w:rFonts w:cs="Arial"/>
          <w:sz w:val="22"/>
          <w:szCs w:val="22"/>
        </w:rPr>
      </w:pPr>
    </w:p>
    <w:sectPr w:rsidR="00BA4254" w:rsidRPr="00BA4254" w:rsidSect="00C62DC3">
      <w:pgSz w:w="11909" w:h="16834" w:code="9"/>
      <w:pgMar w:top="1440" w:right="1440" w:bottom="1440" w:left="144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TSpitz Light">
    <w:altName w:val="Arial Narro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73F"/>
    <w:multiLevelType w:val="hybridMultilevel"/>
    <w:tmpl w:val="A2368A40"/>
    <w:lvl w:ilvl="0" w:tplc="6290C6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F4317"/>
    <w:multiLevelType w:val="hybridMultilevel"/>
    <w:tmpl w:val="0CB84A5C"/>
    <w:lvl w:ilvl="0" w:tplc="275EA3E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21811"/>
    <w:multiLevelType w:val="hybridMultilevel"/>
    <w:tmpl w:val="F7E0E53A"/>
    <w:lvl w:ilvl="0" w:tplc="5F50EA44">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F518C"/>
    <w:multiLevelType w:val="hybridMultilevel"/>
    <w:tmpl w:val="3CC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02A32"/>
    <w:multiLevelType w:val="hybridMultilevel"/>
    <w:tmpl w:val="07B0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47D26"/>
    <w:multiLevelType w:val="multilevel"/>
    <w:tmpl w:val="EA602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BA4254"/>
    <w:rsid w:val="00095C0B"/>
    <w:rsid w:val="00104233"/>
    <w:rsid w:val="00106B9F"/>
    <w:rsid w:val="0018020D"/>
    <w:rsid w:val="001810F1"/>
    <w:rsid w:val="0018586D"/>
    <w:rsid w:val="00204045"/>
    <w:rsid w:val="002C497A"/>
    <w:rsid w:val="002F0712"/>
    <w:rsid w:val="00333CA9"/>
    <w:rsid w:val="0034441B"/>
    <w:rsid w:val="00354A7A"/>
    <w:rsid w:val="003B5916"/>
    <w:rsid w:val="004C7F62"/>
    <w:rsid w:val="004D7E3F"/>
    <w:rsid w:val="005150DB"/>
    <w:rsid w:val="005223D6"/>
    <w:rsid w:val="0056206A"/>
    <w:rsid w:val="005D5511"/>
    <w:rsid w:val="00626E38"/>
    <w:rsid w:val="0066365E"/>
    <w:rsid w:val="007A3485"/>
    <w:rsid w:val="007E45BB"/>
    <w:rsid w:val="00814931"/>
    <w:rsid w:val="0085195B"/>
    <w:rsid w:val="00871806"/>
    <w:rsid w:val="008C38D6"/>
    <w:rsid w:val="009246D6"/>
    <w:rsid w:val="009C75C9"/>
    <w:rsid w:val="009F75B0"/>
    <w:rsid w:val="00AA3CF7"/>
    <w:rsid w:val="00AE32ED"/>
    <w:rsid w:val="00AE7A2C"/>
    <w:rsid w:val="00AF7957"/>
    <w:rsid w:val="00B92554"/>
    <w:rsid w:val="00BA4254"/>
    <w:rsid w:val="00BC0F04"/>
    <w:rsid w:val="00C3051F"/>
    <w:rsid w:val="00C62DC3"/>
    <w:rsid w:val="00C720D4"/>
    <w:rsid w:val="00CB3893"/>
    <w:rsid w:val="00CB5D59"/>
    <w:rsid w:val="00DD35DF"/>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CA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254"/>
    <w:rPr>
      <w:color w:val="0000FF"/>
      <w:u w:val="single"/>
    </w:rPr>
  </w:style>
  <w:style w:type="paragraph" w:styleId="ListParagraph">
    <w:name w:val="List Paragraph"/>
    <w:basedOn w:val="Normal"/>
    <w:uiPriority w:val="34"/>
    <w:qFormat/>
    <w:rsid w:val="00AE32ED"/>
    <w:pPr>
      <w:ind w:left="720"/>
      <w:contextualSpacing/>
    </w:pPr>
  </w:style>
  <w:style w:type="character" w:styleId="CommentReference">
    <w:name w:val="annotation reference"/>
    <w:basedOn w:val="DefaultParagraphFont"/>
    <w:rsid w:val="005150DB"/>
    <w:rPr>
      <w:sz w:val="16"/>
      <w:szCs w:val="16"/>
    </w:rPr>
  </w:style>
  <w:style w:type="paragraph" w:styleId="CommentText">
    <w:name w:val="annotation text"/>
    <w:basedOn w:val="Normal"/>
    <w:link w:val="CommentTextChar"/>
    <w:rsid w:val="005150DB"/>
    <w:rPr>
      <w:sz w:val="20"/>
      <w:szCs w:val="20"/>
    </w:rPr>
  </w:style>
  <w:style w:type="character" w:customStyle="1" w:styleId="CommentTextChar">
    <w:name w:val="Comment Text Char"/>
    <w:basedOn w:val="DefaultParagraphFont"/>
    <w:link w:val="CommentText"/>
    <w:rsid w:val="005150DB"/>
    <w:rPr>
      <w:rFonts w:ascii="Arial" w:hAnsi="Arial"/>
      <w:lang w:eastAsia="en-US"/>
    </w:rPr>
  </w:style>
  <w:style w:type="paragraph" w:styleId="CommentSubject">
    <w:name w:val="annotation subject"/>
    <w:basedOn w:val="CommentText"/>
    <w:next w:val="CommentText"/>
    <w:link w:val="CommentSubjectChar"/>
    <w:rsid w:val="005150DB"/>
    <w:rPr>
      <w:b/>
      <w:bCs/>
    </w:rPr>
  </w:style>
  <w:style w:type="character" w:customStyle="1" w:styleId="CommentSubjectChar">
    <w:name w:val="Comment Subject Char"/>
    <w:basedOn w:val="CommentTextChar"/>
    <w:link w:val="CommentSubject"/>
    <w:rsid w:val="005150DB"/>
    <w:rPr>
      <w:rFonts w:ascii="Arial" w:hAnsi="Arial"/>
      <w:b/>
      <w:bCs/>
      <w:lang w:eastAsia="en-US"/>
    </w:rPr>
  </w:style>
  <w:style w:type="paragraph" w:styleId="BalloonText">
    <w:name w:val="Balloon Text"/>
    <w:basedOn w:val="Normal"/>
    <w:link w:val="BalloonTextChar"/>
    <w:rsid w:val="005150DB"/>
    <w:rPr>
      <w:rFonts w:ascii="Tahoma" w:hAnsi="Tahoma" w:cs="Tahoma"/>
      <w:sz w:val="16"/>
      <w:szCs w:val="16"/>
    </w:rPr>
  </w:style>
  <w:style w:type="character" w:customStyle="1" w:styleId="BalloonTextChar">
    <w:name w:val="Balloon Text Char"/>
    <w:basedOn w:val="DefaultParagraphFont"/>
    <w:link w:val="BalloonText"/>
    <w:rsid w:val="005150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254"/>
    <w:rPr>
      <w:color w:val="0000FF"/>
      <w:u w:val="single"/>
    </w:rPr>
  </w:style>
  <w:style w:type="paragraph" w:styleId="ListParagraph">
    <w:name w:val="List Paragraph"/>
    <w:basedOn w:val="Normal"/>
    <w:uiPriority w:val="34"/>
    <w:qFormat/>
    <w:rsid w:val="00AE32ED"/>
    <w:pPr>
      <w:ind w:left="720"/>
      <w:contextualSpacing/>
    </w:pPr>
  </w:style>
  <w:style w:type="character" w:styleId="CommentReference">
    <w:name w:val="annotation reference"/>
    <w:basedOn w:val="DefaultParagraphFont"/>
    <w:rsid w:val="005150DB"/>
    <w:rPr>
      <w:sz w:val="16"/>
      <w:szCs w:val="16"/>
    </w:rPr>
  </w:style>
  <w:style w:type="paragraph" w:styleId="CommentText">
    <w:name w:val="annotation text"/>
    <w:basedOn w:val="Normal"/>
    <w:link w:val="CommentTextChar"/>
    <w:rsid w:val="005150DB"/>
    <w:rPr>
      <w:sz w:val="20"/>
      <w:szCs w:val="20"/>
    </w:rPr>
  </w:style>
  <w:style w:type="character" w:customStyle="1" w:styleId="CommentTextChar">
    <w:name w:val="Comment Text Char"/>
    <w:basedOn w:val="DefaultParagraphFont"/>
    <w:link w:val="CommentText"/>
    <w:rsid w:val="005150DB"/>
    <w:rPr>
      <w:rFonts w:ascii="Arial" w:hAnsi="Arial"/>
      <w:lang w:eastAsia="en-US"/>
    </w:rPr>
  </w:style>
  <w:style w:type="paragraph" w:styleId="CommentSubject">
    <w:name w:val="annotation subject"/>
    <w:basedOn w:val="CommentText"/>
    <w:next w:val="CommentText"/>
    <w:link w:val="CommentSubjectChar"/>
    <w:rsid w:val="005150DB"/>
    <w:rPr>
      <w:b/>
      <w:bCs/>
    </w:rPr>
  </w:style>
  <w:style w:type="character" w:customStyle="1" w:styleId="CommentSubjectChar">
    <w:name w:val="Comment Subject Char"/>
    <w:basedOn w:val="CommentTextChar"/>
    <w:link w:val="CommentSubject"/>
    <w:rsid w:val="005150DB"/>
    <w:rPr>
      <w:rFonts w:ascii="Arial" w:hAnsi="Arial"/>
      <w:b/>
      <w:bCs/>
      <w:lang w:eastAsia="en-US"/>
    </w:rPr>
  </w:style>
  <w:style w:type="paragraph" w:styleId="BalloonText">
    <w:name w:val="Balloon Text"/>
    <w:basedOn w:val="Normal"/>
    <w:link w:val="BalloonTextChar"/>
    <w:rsid w:val="005150DB"/>
    <w:rPr>
      <w:rFonts w:ascii="Tahoma" w:hAnsi="Tahoma" w:cs="Tahoma"/>
      <w:sz w:val="16"/>
      <w:szCs w:val="16"/>
    </w:rPr>
  </w:style>
  <w:style w:type="character" w:customStyle="1" w:styleId="BalloonTextChar">
    <w:name w:val="Balloon Text Char"/>
    <w:basedOn w:val="DefaultParagraphFont"/>
    <w:link w:val="BalloonText"/>
    <w:rsid w:val="005150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807850">
      <w:bodyDiv w:val="1"/>
      <w:marLeft w:val="0"/>
      <w:marRight w:val="0"/>
      <w:marTop w:val="0"/>
      <w:marBottom w:val="0"/>
      <w:divBdr>
        <w:top w:val="none" w:sz="0" w:space="0" w:color="auto"/>
        <w:left w:val="none" w:sz="0" w:space="0" w:color="auto"/>
        <w:bottom w:val="none" w:sz="0" w:space="0" w:color="auto"/>
        <w:right w:val="none" w:sz="0" w:space="0" w:color="auto"/>
      </w:divBdr>
    </w:div>
    <w:div w:id="1438594554">
      <w:bodyDiv w:val="1"/>
      <w:marLeft w:val="0"/>
      <w:marRight w:val="0"/>
      <w:marTop w:val="0"/>
      <w:marBottom w:val="0"/>
      <w:divBdr>
        <w:top w:val="none" w:sz="0" w:space="0" w:color="auto"/>
        <w:left w:val="none" w:sz="0" w:space="0" w:color="auto"/>
        <w:bottom w:val="none" w:sz="0" w:space="0" w:color="auto"/>
        <w:right w:val="none" w:sz="0" w:space="0" w:color="auto"/>
      </w:divBdr>
    </w:div>
    <w:div w:id="16031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y.com/cis/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ndrac\AppData\Local\Microsoft\Windows\Temporary%20Internet%20Files\Content.Outlook\W4N4A6G9\www.opp.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llum.mccaig@flagshipconsulting.co.uk" TargetMode="External"/><Relationship Id="rId4" Type="http://schemas.openxmlformats.org/officeDocument/2006/relationships/webSettings" Target="webSettings.xml"/><Relationship Id="rId9" Type="http://schemas.openxmlformats.org/officeDocument/2006/relationships/hyperlink" Target="mailto:sarah.catterick@flagshipconsul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Catterick</dc:creator>
  <cp:lastModifiedBy>PaulS</cp:lastModifiedBy>
  <cp:revision>3</cp:revision>
  <cp:lastPrinted>2013-01-30T12:05:00Z</cp:lastPrinted>
  <dcterms:created xsi:type="dcterms:W3CDTF">2013-04-03T09:00:00Z</dcterms:created>
  <dcterms:modified xsi:type="dcterms:W3CDTF">2013-04-03T09:01:00Z</dcterms:modified>
</cp:coreProperties>
</file>